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4F72" w:val="clear"/>
        <w:spacing w:after="200" w:before="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36"/>
          <w:szCs w:val="36"/>
        </w:rPr>
        <w:t xml:space="preserve">RICE Scoresheet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Formats: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Markdown (documentation) | CSV (working scoresheet)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Updated: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2026-03-22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License: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CC BY 4.0 – Kate Makrigiannis / k8mak.com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 scoring template for prioritizing features using the RICE framework: Reach, Impact, Confidence, Effort. Download the CSV, open it in Google Sheets or Excel, and score your backlog.</w:t>
      </w: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When to use this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You have 5-20 features, initiatives, or backlog items competing for attention and need a quantitative, defensible prioritization. RICE gives you a formula to compare unlike items on a common scale. Use it when gut feel isn't enough and stakeholders need to see the math.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Scoring guide</w:t>
      </w: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Reach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How many users will this affect in a given time period?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Score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Meaning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Count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Actual number of users/transactions affected per quarter (e.g., 500 users, 10,000 transactions)</w:t>
            </w:r>
          </w:p>
        </w:tc>
      </w:tr>
    </w:tbl>
    <w:p>
      <w:pPr>
        <w:spacing w:after="120"/>
      </w:pP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Use real data when you have it. Estimate when you don't. Note the basis for your estimate in the Notes column.</w:t>
      </w: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Impact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How much will this move the needle for each user reached?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Score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Meaning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3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Massive – fundamentally changes the experience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2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High – significant improvement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1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Medium – noticeable improvement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0.5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Low – minor improvement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0.25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Minimal – barely noticeable</w:t>
            </w:r>
          </w:p>
        </w:tc>
      </w:tr>
    </w:tbl>
    <w:p>
      <w:pPr>
        <w:spacing w:after="120"/>
      </w:pP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Confidence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How sure are you about the Reach, Impact, and Effort estimates?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Score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Meaning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100%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High confidence – supported by data, research, or past experience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80%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Medium confidence – some data, reasonable estimate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50%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Low confidence – gut feel, limited data</w:t>
            </w:r>
          </w:p>
        </w:tc>
      </w:tr>
    </w:tbl>
    <w:p>
      <w:pPr>
        <w:spacing w:after="120"/>
      </w:pP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Effort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How many person-months will this take to ship?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Score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Meaning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Count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Person-months of work (e.g., 0.5 = 2 weeks for one person, 3 = one person for a quarter)</w:t>
            </w:r>
          </w:p>
        </w:tc>
      </w:tr>
    </w:tbl>
    <w:p>
      <w:pPr>
        <w:spacing w:after="120"/>
      </w:pP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Include design, engineering, QA, and any cross-team coordination time.</w:t>
      </w: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RICE Score formula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RICE Score = (Reach × Impact × Confidence) / Effort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Higher scores = higher priority. The formula naturally favors high-reach, high-impact items that are well-understood and quick to build.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CSV column reference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companion CSV file (</w:t>
      </w:r>
      <w:r>
        <w:rPr>
          <w:rFonts w:ascii="Consolas" w:cs="Consolas" w:eastAsia="Consolas" w:hAnsi="Consolas"/>
          <w:color w:val="2C3E50"/>
          <w:sz w:val="20"/>
          <w:szCs w:val="20"/>
        </w:rPr>
        <w:t xml:space="preserve">rice-scoresheet.csv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) has these columns: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Column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Type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Item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Text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Feature or initiative name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Reach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Number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Users or transactions affected per quarter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Impact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Number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0.25, 0.5, 1, 2, or 3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Confidence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Percent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50%, 80%, or 100%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Effort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Number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Person-months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RICE Score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Formula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(Reach × Impact × Confidence) / Effort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Personas Affected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Text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Which user personas this serves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Notes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Text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Assumptions, data sources, open questions</w:t>
            </w:r>
          </w:p>
        </w:tc>
      </w:tr>
    </w:tbl>
    <w:p>
      <w:pPr>
        <w:spacing w:after="120"/>
      </w:pP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Tips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Score with evidence, not gut feel.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If you can cite analytics, user research, or support ticket volume, do it. If you're estimating, say so in the Notes column.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Confidence is the integrity check.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A feature with high Reach and Impact but 50% Confidence should not outrank a solid 80% Confidence item. The formula handles this – trust it.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Effort is the most commonly underestimated dimension.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Include cross-team coordination, QA, documentation, and deployment. Not just coding time.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Review scores as a team.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One person scoring in isolation produces biased results. Score individually, then compare and discuss divergences.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Rescore quarterly.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Reach and Confidence change as you learn more. Last quarter's scores may not apply.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160" w:line="276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Part of the </w:t>
      </w:r>
      <w:hyperlink w:history="1" r:id="rIddkxxylwfydh8eak6cfhnd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 Agent Toolkit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 Download other formats at </w:t>
      </w:r>
      <w:hyperlink w:history="1" r:id="rIdi-qgw3d8ujgpmdfycrfgp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k8mak.com/resources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</w:t>
      </w:r>
    </w:p>
    <w:sectPr>
      <w:headerReference w:type="default" r:id="rId7"/>
      <w:headerReference w:type="first" r:id="rId8"/>
      <w:footerReference w:type="default" r:id="rId9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5E5" w:sz="4" w:space="4"/>
      </w:pBdr>
      <w:spacing w:before="100"/>
      <w:jc w:val="center"/>
    </w:pPr>
    <w:r>
      <w:rPr>
        <w:rFonts w:ascii="Calibri" w:cs="Calibri" w:eastAsia="Calibri" w:hAnsi="Calibri"/>
        <w:b/>
        <w:bCs/>
        <w:i w:val="false"/>
        <w:iCs w:val="false"/>
        <w:color w:val="888888"/>
        <w:sz w:val="16"/>
        <w:szCs w:val="16"/>
      </w:rPr>
      <w:t xml:space="preserve">k8mak.com</w:t>
    </w: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  |  Kate Makrigiannis  |  Page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 w:val="false"/>
        <w:bCs w:val="false"/>
        <w:i/>
        <w:iCs/>
        <w:color w:val="888888"/>
        <w:sz w:val="16"/>
        <w:szCs w:val="16"/>
      </w:rPr>
      <w:t xml:space="preserve">k8 Quick Start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dkxxylwfydh8eak6cfhnd" Type="http://schemas.openxmlformats.org/officeDocument/2006/relationships/hyperlink" Target="https://k8mak.com/agent-toolkit" TargetMode="External"/><Relationship Id="rIdi-qgw3d8ujgpmdfycrfgp" Type="http://schemas.openxmlformats.org/officeDocument/2006/relationships/hyperlink" Target="https://k8mak.com/resources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2026-03-24T02:08:19.811Z</dcterms:created>
  <dcterms:modified xsi:type="dcterms:W3CDTF">2026-03-24T02:08:19.812Z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